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A9" w:rsidRDefault="003C0061" w:rsidP="003C0061">
      <w:pPr>
        <w:tabs>
          <w:tab w:val="left" w:pos="9285"/>
          <w:tab w:val="right" w:pos="10205"/>
        </w:tabs>
      </w:pPr>
      <w:r>
        <w:tab/>
      </w:r>
    </w:p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/>
      </w:tblPr>
      <w:tblGrid>
        <w:gridCol w:w="4660"/>
        <w:gridCol w:w="1510"/>
        <w:gridCol w:w="4570"/>
      </w:tblGrid>
      <w:tr w:rsidR="008D05A9" w:rsidRPr="008D05A9" w:rsidTr="008D05A9">
        <w:trPr>
          <w:cantSplit/>
          <w:trHeight w:val="1701"/>
        </w:trPr>
        <w:tc>
          <w:tcPr>
            <w:tcW w:w="4660" w:type="dxa"/>
            <w:hideMark/>
          </w:tcPr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</w:rPr>
              <w:t>БАШ</w:t>
            </w:r>
            <w:r w:rsidR="00777CBA">
              <w:rPr>
                <w:rFonts w:ascii="Arial New Bash" w:eastAsia="Times New Roman" w:hAnsi="Arial New Bash" w:cs="Times New Roman"/>
                <w:b/>
                <w:lang w:val="ba-RU"/>
              </w:rPr>
              <w:t>К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="009911A9">
              <w:rPr>
                <w:rFonts w:ascii="Arial" w:eastAsia="Times New Roman" w:hAnsi="Arial" w:cs="Arial"/>
                <w:b/>
                <w:lang w:val="ba-RU"/>
              </w:rPr>
              <w:t>Һ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="009911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К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="009911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Г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</w:p>
          <w:p w:rsidR="008D05A9" w:rsidRPr="009911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="009911A9">
              <w:rPr>
                <w:rFonts w:ascii="Arial" w:eastAsia="Times New Roman" w:hAnsi="Arial" w:cs="Arial"/>
                <w:b/>
                <w:bCs/>
                <w:caps/>
                <w:lang w:val="ba-RU"/>
              </w:rPr>
              <w:t>Ң</w:t>
            </w:r>
          </w:p>
          <w:p w:rsidR="008D05A9" w:rsidRPr="008D05A9" w:rsidRDefault="00777CBA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 xml:space="preserve">тайнаш </w:t>
            </w:r>
            <w:r w:rsidR="008D05A9" w:rsidRPr="008D05A9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="008D05A9"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8D05A9" w:rsidRPr="008D05A9" w:rsidRDefault="008D05A9" w:rsidP="009911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="009911A9">
              <w:rPr>
                <w:rFonts w:ascii="Arial" w:eastAsia="Times New Roman" w:hAnsi="Arial" w:cs="Arial"/>
                <w:b/>
                <w:bCs/>
                <w:lang w:val="ba-RU"/>
              </w:rPr>
              <w:t>Ә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="009911A9">
              <w:rPr>
                <w:rFonts w:ascii="Arial" w:eastAsia="Times New Roman" w:hAnsi="Arial" w:cs="Arial"/>
                <w:b/>
                <w:bCs/>
                <w:lang w:val="ba-RU"/>
              </w:rPr>
              <w:t>ӘҺ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8D05A9" w:rsidRPr="008D05A9" w:rsidRDefault="008D05A9" w:rsidP="008D05A9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D05A9" w:rsidRPr="008D05A9" w:rsidRDefault="008D05A9" w:rsidP="008D05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8D05A9" w:rsidRPr="008D05A9" w:rsidRDefault="00777CBA" w:rsidP="008D05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iCs/>
              </w:rPr>
              <w:t>ТАЙНЯШЕВСКИЙ</w:t>
            </w:r>
            <w:r w:rsidR="008D05A9" w:rsidRPr="008D05A9">
              <w:rPr>
                <w:rFonts w:ascii="Arial New Bash" w:eastAsia="Times New Roman" w:hAnsi="Arial New Bash" w:cs="Times New Roman"/>
                <w:b/>
                <w:bCs/>
                <w:iCs/>
              </w:rPr>
              <w:t xml:space="preserve"> СЕЛЬСОВЕТ</w:t>
            </w:r>
          </w:p>
          <w:p w:rsidR="008D05A9" w:rsidRPr="008D05A9" w:rsidRDefault="008D05A9" w:rsidP="008D05A9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D05A9" w:rsidRPr="008D05A9" w:rsidTr="00970A95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05A9" w:rsidRPr="008D05A9" w:rsidRDefault="008D05A9" w:rsidP="008D05A9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8D05A9" w:rsidRPr="008D05A9" w:rsidRDefault="008D05A9" w:rsidP="008D05A9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bookmarkStart w:id="0" w:name="_GoBack"/>
      <w:bookmarkEnd w:id="0"/>
      <w:r w:rsidRPr="008D05A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</w:t>
      </w:r>
      <w:r w:rsidR="0054427A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р е ш е н и е</w:t>
      </w:r>
    </w:p>
    <w:p w:rsidR="008D05A9" w:rsidRPr="008D05A9" w:rsidRDefault="008D05A9" w:rsidP="008D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 w:rsidR="00777C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 </w:t>
      </w: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8D05A9" w:rsidRPr="008D05A9" w:rsidRDefault="008D05A9" w:rsidP="008D0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29, 30 Федерального закона 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№131-ФЗ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 w:rsidR="00777C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r w:rsidR="00777C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</w:t>
      </w:r>
      <w:r w:rsidRPr="008D0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05A9" w:rsidRPr="008D05A9" w:rsidRDefault="008D05A9" w:rsidP="008D05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 w:rsidR="0077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Тайняшевский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согласно приложению к настоящему решению. </w:t>
      </w:r>
    </w:p>
    <w:p w:rsidR="008D05A9" w:rsidRPr="008D05A9" w:rsidRDefault="008D05A9" w:rsidP="008D05A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777C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Тайняшевский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сельсовет по адресу: 452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22</w:t>
      </w:r>
      <w:r w:rsidR="003C00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Республика Башкортостан,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r w:rsidR="003C00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Тайня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шево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ул.</w:t>
      </w:r>
      <w:r w:rsidR="003C00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Центральная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C00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32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и разместить в сети общего доступа «Интернет» на официальном сайте сельс</w:t>
      </w:r>
      <w:r w:rsidR="00462C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кого поселения: https://taynyshcp. 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ru/.</w:t>
      </w:r>
    </w:p>
    <w:p w:rsidR="008D05A9" w:rsidRPr="008D05A9" w:rsidRDefault="008D05A9" w:rsidP="008D05A9">
      <w:pPr>
        <w:pStyle w:val="a3"/>
        <w:widowControl w:val="0"/>
        <w:numPr>
          <w:ilvl w:val="0"/>
          <w:numId w:val="2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="0077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Тайняшевский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Чекмагушевский район Республики Башкортостан.</w:t>
      </w: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425F79" w:rsidRDefault="003C0061" w:rsidP="008D05A9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77CB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777CBA">
        <w:rPr>
          <w:rFonts w:ascii="Times New Roman" w:eastAsia="Calibri" w:hAnsi="Times New Roman" w:cs="Times New Roman"/>
          <w:sz w:val="28"/>
          <w:szCs w:val="28"/>
        </w:rPr>
        <w:t xml:space="preserve"> Совета                        Х.Р.Исхаков</w:t>
      </w:r>
    </w:p>
    <w:p w:rsidR="008D05A9" w:rsidRPr="00425F79" w:rsidRDefault="008D05A9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777CBA">
        <w:rPr>
          <w:rFonts w:ascii="Times New Roman" w:eastAsia="Calibri" w:hAnsi="Times New Roman" w:cs="Times New Roman"/>
          <w:sz w:val="28"/>
          <w:szCs w:val="28"/>
        </w:rPr>
        <w:t>Тайняшево</w:t>
      </w:r>
    </w:p>
    <w:p w:rsidR="008D05A9" w:rsidRPr="00425F79" w:rsidRDefault="00EA1FAE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 ноября 2021 г.</w:t>
      </w:r>
    </w:p>
    <w:p w:rsidR="008D05A9" w:rsidRPr="00425F79" w:rsidRDefault="008D05A9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 w:rsidR="004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FAE">
        <w:rPr>
          <w:rFonts w:ascii="Times New Roman" w:eastAsia="Calibri" w:hAnsi="Times New Roman" w:cs="Times New Roman"/>
          <w:sz w:val="28"/>
          <w:szCs w:val="28"/>
        </w:rPr>
        <w:t>95</w:t>
      </w:r>
    </w:p>
    <w:p w:rsidR="008D05A9" w:rsidRDefault="008D05A9" w:rsidP="008D05A9"/>
    <w:p w:rsidR="008D05A9" w:rsidRPr="008D05A9" w:rsidRDefault="008D05A9" w:rsidP="008D05A9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61" w:rsidRDefault="003C0061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             от </w:t>
      </w:r>
      <w:r w:rsidR="00EA1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09.11.2021 г. №95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проведения собраний, конференций граждан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8D05A9" w:rsidRPr="008D05A9" w:rsidRDefault="008D05A9" w:rsidP="008D05A9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Положения: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достигшие шестнадцатилетнего возраста.</w:t>
      </w:r>
    </w:p>
    <w:p w:rsidR="008D05A9" w:rsidRPr="008D05A9" w:rsidRDefault="008D05A9" w:rsidP="008D05A9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Российской Федерации, не проживающие на территории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8D05A9" w:rsidRPr="008D05A9" w:rsidRDefault="008D05A9" w:rsidP="008D05A9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проведения собраний, конференций</w:t>
      </w:r>
    </w:p>
    <w:p w:rsidR="008D05A9" w:rsidRPr="008D05A9" w:rsidRDefault="008D05A9" w:rsidP="008D05A9">
      <w:pPr>
        <w:widowControl w:val="0"/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3C0061">
      <w:pPr>
        <w:widowControl w:val="0"/>
        <w:numPr>
          <w:ilvl w:val="1"/>
          <w:numId w:val="1"/>
        </w:num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участвуют в собраниях, конференциях лично.</w:t>
      </w:r>
    </w:p>
    <w:p w:rsidR="008D05A9" w:rsidRPr="008D05A9" w:rsidRDefault="008D05A9" w:rsidP="003C0061">
      <w:pPr>
        <w:widowControl w:val="0"/>
        <w:numPr>
          <w:ilvl w:val="1"/>
          <w:numId w:val="1"/>
        </w:numPr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собраниях, конференциях является свободным и добровольным.</w:t>
      </w:r>
    </w:p>
    <w:p w:rsidR="008D05A9" w:rsidRPr="008D05A9" w:rsidRDefault="008D05A9" w:rsidP="003C0061">
      <w:pPr>
        <w:widowControl w:val="0"/>
        <w:numPr>
          <w:ilvl w:val="1"/>
          <w:numId w:val="1"/>
        </w:numPr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D05A9" w:rsidRPr="008D05A9" w:rsidRDefault="008D05A9" w:rsidP="003C0061">
      <w:pPr>
        <w:widowControl w:val="0"/>
        <w:numPr>
          <w:ilvl w:val="1"/>
          <w:numId w:val="1"/>
        </w:numPr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гражданин, участвующий в собрании, конференции, имеет один голос.</w:t>
      </w:r>
    </w:p>
    <w:p w:rsidR="008D05A9" w:rsidRPr="008D05A9" w:rsidRDefault="008D05A9" w:rsidP="003C0061">
      <w:pPr>
        <w:widowControl w:val="0"/>
        <w:numPr>
          <w:ilvl w:val="1"/>
          <w:numId w:val="1"/>
        </w:numPr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D05A9" w:rsidRPr="008D05A9" w:rsidRDefault="008D05A9" w:rsidP="003C0061">
      <w:pPr>
        <w:widowControl w:val="0"/>
        <w:numPr>
          <w:ilvl w:val="1"/>
          <w:numId w:val="1"/>
        </w:numPr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8D05A9" w:rsidRPr="008D05A9" w:rsidRDefault="008D05A9" w:rsidP="008D05A9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669"/>
        </w:tabs>
        <w:spacing w:after="0" w:line="240" w:lineRule="auto"/>
        <w:ind w:lef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проведения и порядок назначения собраний, конференций</w:t>
      </w:r>
    </w:p>
    <w:p w:rsidR="008D05A9" w:rsidRPr="008D05A9" w:rsidRDefault="008D05A9" w:rsidP="008D05A9">
      <w:pPr>
        <w:widowControl w:val="0"/>
        <w:tabs>
          <w:tab w:val="left" w:pos="669"/>
        </w:tabs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3C0061">
      <w:pPr>
        <w:widowControl w:val="0"/>
        <w:tabs>
          <w:tab w:val="left" w:leader="underscore" w:pos="3286"/>
        </w:tabs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Собрание, конференция проводятся по инициативе населения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8D05A9" w:rsidRPr="008D05A9" w:rsidRDefault="008D05A9" w:rsidP="008D05A9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D05A9" w:rsidRPr="008D05A9" w:rsidRDefault="008D05A9" w:rsidP="008D05A9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инициативной группы должен содержать следующие данные: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 (проекты), который (которые) предлагается обсудить;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дату и место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фамилии, имена, отчества уполномоченных инициативной группы граждан по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D05A9" w:rsidRPr="008D05A9" w:rsidRDefault="008D05A9" w:rsidP="008D05A9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3C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его регламентом.</w:t>
      </w:r>
    </w:p>
    <w:p w:rsidR="008D05A9" w:rsidRPr="008D05A9" w:rsidRDefault="008D05A9" w:rsidP="003C0061">
      <w:pPr>
        <w:widowControl w:val="0"/>
        <w:tabs>
          <w:tab w:val="right" w:leader="underscore" w:pos="5973"/>
          <w:tab w:val="left" w:pos="6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Совет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D05A9" w:rsidRPr="008D05A9" w:rsidRDefault="008D05A9" w:rsidP="008D05A9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проведение собраний, конференций осуществляет инициативная группа.</w:t>
      </w:r>
    </w:p>
    <w:p w:rsidR="008D05A9" w:rsidRPr="008D05A9" w:rsidRDefault="008D05A9" w:rsidP="008D05A9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Совета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назначении проведения собрания, конференции указываются: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 и время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на которой проводится собрание, конференция;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ответственные за подготовку и проведение собраний, конференций.</w:t>
      </w:r>
    </w:p>
    <w:p w:rsidR="008D05A9" w:rsidRPr="008D05A9" w:rsidRDefault="008D05A9" w:rsidP="003C0061">
      <w:pPr>
        <w:widowControl w:val="0"/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Решение о назначении собраний, конференций подлежит официальному опубликованию (обнародованию).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Оповещение граждан о собраниях, конференциях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собрании - не менее чем за 7 дней до его проведения;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конференции - не менее чем за 14 дней до ее проведения.</w:t>
      </w:r>
    </w:p>
    <w:p w:rsidR="008D05A9" w:rsidRPr="008D05A9" w:rsidRDefault="008D05A9" w:rsidP="008D05A9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D05A9" w:rsidRPr="008D05A9" w:rsidRDefault="008D05A9" w:rsidP="008D05A9">
      <w:pPr>
        <w:widowControl w:val="0"/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проведения собрания</w:t>
      </w:r>
    </w:p>
    <w:p w:rsidR="008D05A9" w:rsidRPr="008D05A9" w:rsidRDefault="008D05A9" w:rsidP="008D05A9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граждан проводится,</w:t>
      </w:r>
      <w:r w:rsidR="003C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нем присутствует более 25% от общего числа граждан, имеющих право на участие в собрании.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8D05A9" w:rsidRPr="008D05A9" w:rsidRDefault="008D05A9" w:rsidP="003C0061">
      <w:pPr>
        <w:widowControl w:val="0"/>
        <w:numPr>
          <w:ilvl w:val="1"/>
          <w:numId w:val="6"/>
        </w:numPr>
        <w:tabs>
          <w:tab w:val="left" w:pos="709"/>
          <w:tab w:val="left" w:pos="186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заинтересованных лиц.</w:t>
      </w:r>
    </w:p>
    <w:p w:rsidR="008D05A9" w:rsidRPr="008D05A9" w:rsidRDefault="008D05A9" w:rsidP="008D05A9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Основания проведения конференции, норма представительства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50164E" w:rsidRDefault="008D05A9" w:rsidP="008D05A9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 w:rsidRPr="0050164E">
        <w:t xml:space="preserve">При вынесении на рассмотрение инициативного проекта (проектов), непосредственно затрагивающего(-их) интересы более </w:t>
      </w:r>
      <w:r>
        <w:t>10%</w:t>
      </w:r>
      <w:r w:rsidRPr="0050164E"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D05A9" w:rsidRPr="0050164E" w:rsidRDefault="008D05A9" w:rsidP="008D05A9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 w:rsidRPr="0050164E"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>
        <w:t>10%</w:t>
      </w:r>
      <w:r w:rsidRPr="0050164E">
        <w:t xml:space="preserve"> граждан, имеющих право на участие в собрании.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проведения выборов делегатов на конференцию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Порядок проведения конференции</w:t>
      </w: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конференции принимаются большинством голосов от списочного состава делегатов.</w:t>
      </w:r>
    </w:p>
    <w:p w:rsidR="008D05A9" w:rsidRPr="008D05A9" w:rsidRDefault="008D05A9" w:rsidP="003C0061">
      <w:pPr>
        <w:widowControl w:val="0"/>
        <w:numPr>
          <w:ilvl w:val="1"/>
          <w:numId w:val="9"/>
        </w:numPr>
        <w:tabs>
          <w:tab w:val="left" w:pos="709"/>
          <w:tab w:val="right" w:pos="9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 сведения органов местного самоуправления и заинтересованных лиц.</w:t>
      </w:r>
    </w:p>
    <w:p w:rsidR="008D05A9" w:rsidRPr="008D05A9" w:rsidRDefault="008D05A9" w:rsidP="008D05A9">
      <w:pPr>
        <w:widowControl w:val="0"/>
        <w:tabs>
          <w:tab w:val="left" w:pos="1418"/>
          <w:tab w:val="right" w:pos="935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Полномочия собрания, конференции</w:t>
      </w:r>
    </w:p>
    <w:p w:rsidR="008D05A9" w:rsidRPr="008D05A9" w:rsidRDefault="008D05A9" w:rsidP="008D05A9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собрания, конференции относятся: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вопросов внесения инициативных проектов и их рассмотрения;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предложений и рекомендаций по обсуждаемым вопросам на собрании;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полномочий, предусмотренных действующим законодательством.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Итоги собраний, конференций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 итоги собрания, конференции оформляются протоколом.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должен содержать следующие данные: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президиума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счетной комиссии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домов и номера подъездов, жители которых участвуют в собрании,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 или делегатов, избранных на конференцию;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 и принятое решение;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председателя и секретаря собрания, конференции.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Итоги собраний, конференций подлежат официальному опубликованию (обнародованию).</w:t>
      </w: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11. Финансирование проведения собраний, конференций</w:t>
      </w: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3C0061">
      <w:pPr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 w:rsidR="00777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Тайняшевский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CF8" w:rsidRPr="008D05A9" w:rsidRDefault="00CC0CF8" w:rsidP="008D05A9"/>
    <w:sectPr w:rsidR="00CC0CF8" w:rsidRPr="008D05A9" w:rsidSect="003C0061">
      <w:pgSz w:w="11906" w:h="16838"/>
      <w:pgMar w:top="902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BA7977"/>
    <w:multiLevelType w:val="hybridMultilevel"/>
    <w:tmpl w:val="D83E73B8"/>
    <w:lvl w:ilvl="0" w:tplc="E99E007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2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6C7"/>
    <w:rsid w:val="001A0234"/>
    <w:rsid w:val="002E644F"/>
    <w:rsid w:val="003766C7"/>
    <w:rsid w:val="003C0061"/>
    <w:rsid w:val="00462C27"/>
    <w:rsid w:val="004720CB"/>
    <w:rsid w:val="0054427A"/>
    <w:rsid w:val="005F77E4"/>
    <w:rsid w:val="00652131"/>
    <w:rsid w:val="00777CBA"/>
    <w:rsid w:val="008D05A9"/>
    <w:rsid w:val="009911A9"/>
    <w:rsid w:val="00A46D1C"/>
    <w:rsid w:val="00BD12D6"/>
    <w:rsid w:val="00CC0CF8"/>
    <w:rsid w:val="00DE0AC1"/>
    <w:rsid w:val="00EA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A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D05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D05A9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7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13</cp:revision>
  <cp:lastPrinted>2021-11-09T09:51:00Z</cp:lastPrinted>
  <dcterms:created xsi:type="dcterms:W3CDTF">2021-11-03T06:31:00Z</dcterms:created>
  <dcterms:modified xsi:type="dcterms:W3CDTF">2021-11-12T06:07:00Z</dcterms:modified>
</cp:coreProperties>
</file>